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5A0B" w14:textId="22E9D1D0" w:rsidR="00A77B3E" w:rsidRPr="00A311D2" w:rsidRDefault="00A77B3E">
      <w:pPr>
        <w:jc w:val="center"/>
        <w:rPr>
          <w:color w:val="000000"/>
        </w:rPr>
      </w:pPr>
    </w:p>
    <w:p w14:paraId="4D2560BD" w14:textId="68D88C93" w:rsidR="00A77B3E" w:rsidRPr="00A311D2" w:rsidRDefault="00260A2B" w:rsidP="00D105E0">
      <w:pPr>
        <w:pStyle w:val="Overskrift1"/>
        <w:rPr>
          <w:b w:val="0"/>
          <w:bCs w:val="0"/>
          <w:color w:val="000000"/>
        </w:rPr>
      </w:pPr>
      <w:r w:rsidRPr="00A311D2">
        <w:rPr>
          <w:b w:val="0"/>
          <w:bCs w:val="0"/>
          <w:color w:val="000000"/>
        </w:rPr>
        <w:t xml:space="preserve">Forskrift om </w:t>
      </w:r>
      <w:r w:rsidR="004853E6">
        <w:rPr>
          <w:b w:val="0"/>
          <w:bCs w:val="0"/>
          <w:color w:val="000000"/>
        </w:rPr>
        <w:t xml:space="preserve">endring av forskrift om </w:t>
      </w:r>
      <w:r w:rsidRPr="00A311D2">
        <w:rPr>
          <w:b w:val="0"/>
          <w:bCs w:val="0"/>
          <w:color w:val="000000"/>
        </w:rPr>
        <w:t>stønad til dekning av utgifter til undersøkelse og behandling hos lege</w:t>
      </w:r>
    </w:p>
    <w:p w14:paraId="2DFD1F88" w14:textId="77777777" w:rsidR="004D45C3" w:rsidRPr="00A311D2" w:rsidRDefault="004D45C3">
      <w:pPr>
        <w:jc w:val="center"/>
        <w:rPr>
          <w:sz w:val="22"/>
        </w:rPr>
      </w:pPr>
    </w:p>
    <w:p w14:paraId="011AED9B" w14:textId="77777777" w:rsidR="004D45C3" w:rsidRPr="00A311D2" w:rsidRDefault="004D45C3">
      <w:bookmarkStart w:id="0" w:name="documentBody"/>
    </w:p>
    <w:p w14:paraId="011A0D9B" w14:textId="0E61E761" w:rsidR="004D45C3" w:rsidRDefault="00260A2B">
      <w:pPr>
        <w:rPr>
          <w:sz w:val="22"/>
        </w:rPr>
      </w:pPr>
      <w:r w:rsidRPr="00A311D2">
        <w:t xml:space="preserve">Fastsatt av Helse- og omsorgsdepartementet </w:t>
      </w:r>
      <w:r w:rsidR="004853E6">
        <w:t>den 30</w:t>
      </w:r>
      <w:r w:rsidRPr="00A311D2">
        <w:t>. juni 202</w:t>
      </w:r>
      <w:r w:rsidR="00357DE4" w:rsidRPr="00A311D2">
        <w:t>3</w:t>
      </w:r>
      <w:r w:rsidRPr="00A311D2">
        <w:t xml:space="preserve"> med hjemmel i </w:t>
      </w:r>
      <w:hyperlink r:id="rId7" w:anchor="reference/lov/1997-02-28-19/§5-4" w:history="1">
        <w:r w:rsidRPr="00A311D2">
          <w:t>lov 28. februar 1997 nr. 19 om folketrygd (folketrygdloven) § 5-4</w:t>
        </w:r>
      </w:hyperlink>
      <w:r w:rsidRPr="00A311D2">
        <w:t xml:space="preserve"> fjerde ledd, </w:t>
      </w:r>
      <w:hyperlink r:id="rId8" w:anchor="reference/lov/1997-02-28-19/§5-25" w:history="1">
        <w:r w:rsidRPr="00A311D2">
          <w:t>§ 5-25</w:t>
        </w:r>
      </w:hyperlink>
      <w:r w:rsidRPr="00A311D2">
        <w:t xml:space="preserve"> tredje ledd og </w:t>
      </w:r>
      <w:hyperlink r:id="rId9" w:anchor="reference/lov/1997-02-28-19/§22-2" w:history="1">
        <w:r w:rsidRPr="00A311D2">
          <w:t>§ 22-2</w:t>
        </w:r>
      </w:hyperlink>
      <w:r w:rsidRPr="00A311D2">
        <w:t xml:space="preserve"> andre ledd, </w:t>
      </w:r>
      <w:hyperlink r:id="rId10" w:anchor="reference/lov/1997-02-28-19/§25-16" w:history="1">
        <w:r w:rsidRPr="00A311D2">
          <w:t>§ 25-16</w:t>
        </w:r>
      </w:hyperlink>
      <w:r w:rsidRPr="00A311D2">
        <w:t xml:space="preserve">, </w:t>
      </w:r>
      <w:hyperlink r:id="rId11" w:anchor="reference/lov/1994-08-05-55/§6-2" w:history="1">
        <w:r w:rsidRPr="00A311D2">
          <w:t>lov 5. august 1994 nr. 55 om vern mot smittsomme sykdommer § 6-2</w:t>
        </w:r>
      </w:hyperlink>
      <w:r w:rsidRPr="00A311D2">
        <w:t xml:space="preserve">, </w:t>
      </w:r>
      <w:hyperlink r:id="rId12" w:anchor="reference/lov/1999-07-02-63/§5-1" w:history="1">
        <w:r w:rsidRPr="00A311D2">
          <w:t>lov 2. juli 1999 nr. 63 om pasient- og brukerrettigheter (pasient- og brukerrettighetsloven) § 5-1</w:t>
        </w:r>
      </w:hyperlink>
      <w:r w:rsidRPr="00A311D2">
        <w:t xml:space="preserve"> siste ledd og </w:t>
      </w:r>
      <w:hyperlink r:id="rId13" w:anchor="reference/lov/1999-07-02-61/§5-5" w:history="1">
        <w:r w:rsidRPr="00A311D2">
          <w:t>lov 2. juli 1999 nr. 61 om spesialisthelsetjenesten m.m. (spesialisthelsetjenesteloven) § 5-5</w:t>
        </w:r>
      </w:hyperlink>
      <w:r w:rsidRPr="00A311D2">
        <w:t xml:space="preserve"> nr. 1 og nr. 2</w:t>
      </w:r>
      <w:r w:rsidRPr="00A311D2">
        <w:rPr>
          <w:sz w:val="18"/>
        </w:rPr>
        <w:br/>
      </w:r>
      <w:bookmarkStart w:id="1" w:name="KAPITTEL_1"/>
    </w:p>
    <w:p w14:paraId="4ABD575B" w14:textId="5CCD2ADA" w:rsidR="004853E6" w:rsidRDefault="004853E6">
      <w:pPr>
        <w:rPr>
          <w:sz w:val="22"/>
        </w:rPr>
      </w:pPr>
    </w:p>
    <w:p w14:paraId="45F1E382" w14:textId="5CF61D73" w:rsidR="004853E6" w:rsidRPr="004853E6" w:rsidRDefault="004853E6" w:rsidP="004853E6">
      <w:pPr>
        <w:jc w:val="center"/>
        <w:rPr>
          <w:b/>
          <w:bCs/>
          <w:sz w:val="22"/>
          <w:lang w:val="nn-NO"/>
        </w:rPr>
      </w:pPr>
      <w:r w:rsidRPr="004853E6">
        <w:rPr>
          <w:b/>
          <w:bCs/>
          <w:sz w:val="22"/>
          <w:lang w:val="nn-NO"/>
        </w:rPr>
        <w:t>I</w:t>
      </w:r>
    </w:p>
    <w:p w14:paraId="1A44F53E" w14:textId="2789D980" w:rsidR="004D45C3" w:rsidRDefault="004853E6">
      <w:pPr>
        <w:rPr>
          <w:color w:val="000000"/>
        </w:rPr>
      </w:pPr>
      <w:r w:rsidRPr="004853E6">
        <w:rPr>
          <w:sz w:val="22"/>
        </w:rPr>
        <w:t xml:space="preserve">I forskrift av 26.6.23 nr. 1125 om </w:t>
      </w:r>
      <w:r w:rsidRPr="00A311D2">
        <w:rPr>
          <w:color w:val="000000"/>
        </w:rPr>
        <w:t>stønad til dekning av utgifter til undersøkelse og behandling hos lege</w:t>
      </w:r>
      <w:r>
        <w:rPr>
          <w:color w:val="000000"/>
        </w:rPr>
        <w:t xml:space="preserve"> gjøres følgende endringer:</w:t>
      </w:r>
    </w:p>
    <w:p w14:paraId="6C67F976" w14:textId="7C7F3488" w:rsidR="00FA227F" w:rsidRDefault="00FA227F">
      <w:pPr>
        <w:rPr>
          <w:color w:val="000000"/>
        </w:rPr>
      </w:pPr>
    </w:p>
    <w:p w14:paraId="776AA7CD" w14:textId="77777777" w:rsidR="00FA227F" w:rsidRDefault="00FA227F">
      <w:pPr>
        <w:rPr>
          <w:color w:val="000000"/>
        </w:rPr>
      </w:pPr>
    </w:p>
    <w:p w14:paraId="370F4D1A" w14:textId="7CD7A1E4" w:rsidR="00FA227F" w:rsidRDefault="00FA227F">
      <w:pPr>
        <w:rPr>
          <w:color w:val="000000"/>
        </w:rPr>
      </w:pPr>
      <w:r>
        <w:rPr>
          <w:color w:val="000000"/>
        </w:rPr>
        <w:t xml:space="preserve">I kapittel II </w:t>
      </w:r>
      <w:r w:rsidRPr="00FA227F">
        <w:rPr>
          <w:color w:val="000000"/>
        </w:rPr>
        <w:t>Takster for allmennlege og privatpraktiserende spesialist</w:t>
      </w:r>
      <w:r>
        <w:rPr>
          <w:color w:val="000000"/>
        </w:rPr>
        <w:t>, skal første overskrift lyde:</w:t>
      </w:r>
    </w:p>
    <w:p w14:paraId="2202BC06" w14:textId="02AB5BB5" w:rsidR="00FA227F" w:rsidRPr="00FA227F" w:rsidRDefault="00FA227F" w:rsidP="00FA227F">
      <w:pPr>
        <w:rPr>
          <w:color w:val="000000"/>
        </w:rPr>
      </w:pPr>
      <w:r w:rsidRPr="00FA227F">
        <w:rPr>
          <w:color w:val="000000"/>
        </w:rPr>
        <w:t xml:space="preserve">Takster fra 1. juli </w:t>
      </w:r>
      <w:r w:rsidRPr="00FA227F">
        <w:rPr>
          <w:i/>
          <w:iCs/>
          <w:color w:val="000000"/>
        </w:rPr>
        <w:t>2023</w:t>
      </w:r>
    </w:p>
    <w:p w14:paraId="6129C18B" w14:textId="48738991" w:rsidR="00FA227F" w:rsidRDefault="00FA227F">
      <w:pPr>
        <w:rPr>
          <w:color w:val="000000"/>
        </w:rPr>
      </w:pPr>
    </w:p>
    <w:p w14:paraId="13714E5B" w14:textId="51B46CF7" w:rsidR="00FA227F" w:rsidRDefault="00FA227F">
      <w:pPr>
        <w:rPr>
          <w:color w:val="000000"/>
        </w:rPr>
      </w:pPr>
    </w:p>
    <w:p w14:paraId="39E29D66" w14:textId="3F1ECB02" w:rsidR="008F1E4E" w:rsidRDefault="00FA227F">
      <w:pPr>
        <w:rPr>
          <w:color w:val="000000"/>
        </w:rPr>
      </w:pPr>
      <w:r>
        <w:rPr>
          <w:color w:val="000000"/>
        </w:rPr>
        <w:t>Takst 2aef skal lyde:</w:t>
      </w:r>
    </w:p>
    <w:tbl>
      <w:tblPr>
        <w:tblW w:w="9867"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79"/>
        <w:gridCol w:w="5063"/>
        <w:gridCol w:w="779"/>
        <w:gridCol w:w="649"/>
        <w:gridCol w:w="1039"/>
        <w:gridCol w:w="909"/>
        <w:gridCol w:w="649"/>
      </w:tblGrid>
      <w:tr w:rsidR="008F1E4E" w:rsidRPr="00A311D2" w14:paraId="056B933D" w14:textId="77777777" w:rsidTr="00CD1CE2">
        <w:tc>
          <w:tcPr>
            <w:tcW w:w="779" w:type="dxa"/>
            <w:shd w:val="clear" w:color="auto" w:fill="FFFFFF"/>
            <w:noWrap/>
            <w:tcMar>
              <w:left w:w="20" w:type="dxa"/>
              <w:right w:w="20" w:type="dxa"/>
            </w:tcMar>
          </w:tcPr>
          <w:p w14:paraId="765AF7E3" w14:textId="77777777" w:rsidR="008F1E4E" w:rsidRPr="00A311D2" w:rsidRDefault="008F1E4E" w:rsidP="00CD1CE2">
            <w:pPr>
              <w:spacing w:after="160"/>
              <w:rPr>
                <w:sz w:val="22"/>
              </w:rPr>
            </w:pPr>
            <w:r w:rsidRPr="00A311D2">
              <w:rPr>
                <w:sz w:val="22"/>
              </w:rPr>
              <w:t>2aef</w:t>
            </w:r>
          </w:p>
        </w:tc>
        <w:tc>
          <w:tcPr>
            <w:tcW w:w="5063" w:type="dxa"/>
            <w:shd w:val="clear" w:color="auto" w:fill="FFFFFF"/>
            <w:noWrap/>
            <w:tcMar>
              <w:left w:w="20" w:type="dxa"/>
              <w:right w:w="20" w:type="dxa"/>
            </w:tcMar>
          </w:tcPr>
          <w:p w14:paraId="1AE4C883" w14:textId="77777777" w:rsidR="008F1E4E" w:rsidRPr="00A311D2" w:rsidRDefault="008F1E4E" w:rsidP="00CD1CE2">
            <w:pPr>
              <w:spacing w:after="160"/>
              <w:rPr>
                <w:sz w:val="22"/>
                <w:lang w:val="en-GB"/>
              </w:rPr>
            </w:pPr>
            <w:r w:rsidRPr="00A311D2">
              <w:rPr>
                <w:sz w:val="22"/>
              </w:rPr>
              <w:t xml:space="preserve">E-konsultasjon hos fastlege (kveld). </w:t>
            </w:r>
            <w:r w:rsidRPr="00A311D2">
              <w:rPr>
                <w:sz w:val="22"/>
                <w:lang w:val="en-GB"/>
              </w:rPr>
              <w:t>Kan kun kombineres med H1, 2bd, 2ck, 2dk, 2hd, 2ld, 2p,7, 8, 100, 101, 105, 10a, 10b,10c, 10d, 110, 111, 121a,  129g,177a, 215, 322, 507c, 507d, 612a, 612b, 615, 616, 617, 618, 701a, 701c, 701d, 703, 705a, 705g, 705h, 705k, 706f, 706h, 706l, 707, 708a, 708b, 708c, 708d, 708e, 709, 710, 711, 712</w:t>
            </w:r>
          </w:p>
        </w:tc>
        <w:tc>
          <w:tcPr>
            <w:tcW w:w="779" w:type="dxa"/>
            <w:shd w:val="clear" w:color="auto" w:fill="FFFFFF"/>
            <w:noWrap/>
            <w:tcMar>
              <w:left w:w="20" w:type="dxa"/>
              <w:right w:w="20" w:type="dxa"/>
            </w:tcMar>
          </w:tcPr>
          <w:p w14:paraId="55ED059B" w14:textId="77777777" w:rsidR="008F1E4E" w:rsidRPr="00A311D2" w:rsidDel="000A3DBC" w:rsidRDefault="008F1E4E" w:rsidP="00CD1CE2">
            <w:pPr>
              <w:spacing w:after="160"/>
              <w:jc w:val="right"/>
              <w:rPr>
                <w:sz w:val="22"/>
              </w:rPr>
            </w:pPr>
            <w:r w:rsidRPr="00A311D2">
              <w:rPr>
                <w:sz w:val="22"/>
              </w:rPr>
              <w:t>310,-</w:t>
            </w:r>
          </w:p>
        </w:tc>
        <w:tc>
          <w:tcPr>
            <w:tcW w:w="649" w:type="dxa"/>
            <w:shd w:val="clear" w:color="auto" w:fill="FFFFFF"/>
            <w:noWrap/>
            <w:tcMar>
              <w:left w:w="20" w:type="dxa"/>
              <w:right w:w="20" w:type="dxa"/>
            </w:tcMar>
          </w:tcPr>
          <w:p w14:paraId="00FCF81C" w14:textId="77777777" w:rsidR="008F1E4E" w:rsidRPr="00A311D2" w:rsidDel="000A3DBC" w:rsidRDefault="008F1E4E" w:rsidP="00CD1CE2">
            <w:pPr>
              <w:spacing w:after="160"/>
              <w:jc w:val="right"/>
              <w:rPr>
                <w:sz w:val="22"/>
              </w:rPr>
            </w:pPr>
            <w:r w:rsidRPr="00A311D2">
              <w:rPr>
                <w:sz w:val="22"/>
              </w:rPr>
              <w:t>44,-</w:t>
            </w:r>
          </w:p>
        </w:tc>
        <w:tc>
          <w:tcPr>
            <w:tcW w:w="1039" w:type="dxa"/>
            <w:shd w:val="clear" w:color="auto" w:fill="FFFFFF"/>
            <w:noWrap/>
            <w:tcMar>
              <w:left w:w="20" w:type="dxa"/>
              <w:right w:w="20" w:type="dxa"/>
            </w:tcMar>
          </w:tcPr>
          <w:p w14:paraId="03C6F3C3" w14:textId="77777777" w:rsidR="008F1E4E" w:rsidRPr="00A311D2" w:rsidDel="000A3DBC" w:rsidRDefault="008F1E4E" w:rsidP="00CD1CE2">
            <w:pPr>
              <w:spacing w:after="160"/>
              <w:jc w:val="right"/>
              <w:rPr>
                <w:sz w:val="22"/>
              </w:rPr>
            </w:pPr>
            <w:r w:rsidRPr="00A311D2">
              <w:rPr>
                <w:sz w:val="22"/>
              </w:rPr>
              <w:t>266,-</w:t>
            </w:r>
          </w:p>
        </w:tc>
        <w:tc>
          <w:tcPr>
            <w:tcW w:w="909" w:type="dxa"/>
            <w:shd w:val="clear" w:color="auto" w:fill="FFFFFF"/>
            <w:noWrap/>
            <w:tcMar>
              <w:left w:w="20" w:type="dxa"/>
              <w:right w:w="20" w:type="dxa"/>
            </w:tcMar>
          </w:tcPr>
          <w:p w14:paraId="02822C0E" w14:textId="2B36A083" w:rsidR="008F1E4E" w:rsidRPr="00A311D2" w:rsidRDefault="008F1E4E" w:rsidP="00CD1CE2">
            <w:pPr>
              <w:spacing w:after="160"/>
              <w:jc w:val="right"/>
              <w:rPr>
                <w:sz w:val="22"/>
              </w:rPr>
            </w:pPr>
            <w:r w:rsidRPr="00A311D2">
              <w:rPr>
                <w:sz w:val="22"/>
              </w:rPr>
              <w:t>B9</w:t>
            </w:r>
            <w:r w:rsidRPr="008F1E4E">
              <w:rPr>
                <w:i/>
                <w:iCs/>
                <w:sz w:val="22"/>
              </w:rPr>
              <w:t>,</w:t>
            </w:r>
            <w:r w:rsidRPr="00A311D2">
              <w:rPr>
                <w:sz w:val="22"/>
              </w:rPr>
              <w:t xml:space="preserve"> B1</w:t>
            </w:r>
            <w:r w:rsidRPr="008F1E4E">
              <w:rPr>
                <w:i/>
                <w:iCs/>
                <w:sz w:val="22"/>
              </w:rPr>
              <w:t>, D</w:t>
            </w:r>
            <w:r>
              <w:rPr>
                <w:i/>
                <w:iCs/>
                <w:sz w:val="22"/>
              </w:rPr>
              <w:t>1</w:t>
            </w:r>
          </w:p>
        </w:tc>
        <w:tc>
          <w:tcPr>
            <w:tcW w:w="649" w:type="dxa"/>
            <w:shd w:val="clear" w:color="auto" w:fill="FFFFFF"/>
            <w:noWrap/>
            <w:tcMar>
              <w:left w:w="20" w:type="dxa"/>
              <w:right w:w="20" w:type="dxa"/>
            </w:tcMar>
          </w:tcPr>
          <w:p w14:paraId="56E0B423" w14:textId="77777777" w:rsidR="008F1E4E" w:rsidRPr="00A311D2" w:rsidRDefault="008F1E4E" w:rsidP="00CD1CE2">
            <w:pPr>
              <w:spacing w:after="160"/>
              <w:jc w:val="right"/>
              <w:rPr>
                <w:sz w:val="22"/>
              </w:rPr>
            </w:pPr>
            <w:r w:rsidRPr="00A311D2">
              <w:rPr>
                <w:sz w:val="22"/>
              </w:rPr>
              <w:t>0</w:t>
            </w:r>
          </w:p>
        </w:tc>
      </w:tr>
    </w:tbl>
    <w:p w14:paraId="0283C1D0" w14:textId="13AEE9AF" w:rsidR="008F1E4E" w:rsidRDefault="008F1E4E">
      <w:pPr>
        <w:rPr>
          <w:color w:val="000000"/>
        </w:rPr>
      </w:pPr>
    </w:p>
    <w:p w14:paraId="38479CFE" w14:textId="2E5E9284" w:rsidR="008F1E4E" w:rsidRDefault="008F1E4E">
      <w:pPr>
        <w:rPr>
          <w:color w:val="000000"/>
        </w:rPr>
      </w:pPr>
    </w:p>
    <w:p w14:paraId="24AAAAB6" w14:textId="5DC7E9C8" w:rsidR="004853E6" w:rsidRDefault="00FA227F">
      <w:pPr>
        <w:rPr>
          <w:color w:val="000000"/>
        </w:rPr>
      </w:pPr>
      <w:r>
        <w:rPr>
          <w:color w:val="000000"/>
        </w:rPr>
        <w:t>Takst 11f skal lyde:</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779"/>
        <w:gridCol w:w="5063"/>
        <w:gridCol w:w="779"/>
        <w:gridCol w:w="649"/>
        <w:gridCol w:w="1039"/>
        <w:gridCol w:w="909"/>
        <w:gridCol w:w="649"/>
      </w:tblGrid>
      <w:tr w:rsidR="004853E6" w:rsidRPr="00A311D2" w14:paraId="4AC3B36A" w14:textId="77777777" w:rsidTr="00CD1CE2">
        <w:tc>
          <w:tcPr>
            <w:tcW w:w="779" w:type="dxa"/>
            <w:shd w:val="clear" w:color="auto" w:fill="FFFFFF"/>
            <w:tcMar>
              <w:left w:w="20" w:type="dxa"/>
              <w:right w:w="20" w:type="dxa"/>
            </w:tcMar>
          </w:tcPr>
          <w:p w14:paraId="36649E49" w14:textId="77777777" w:rsidR="004853E6" w:rsidRPr="00A311D2" w:rsidRDefault="004853E6" w:rsidP="00CD1CE2">
            <w:pPr>
              <w:spacing w:after="160"/>
              <w:rPr>
                <w:sz w:val="22"/>
              </w:rPr>
            </w:pPr>
            <w:r w:rsidRPr="00A311D2">
              <w:rPr>
                <w:sz w:val="22"/>
              </w:rPr>
              <w:t>11f</w:t>
            </w:r>
          </w:p>
        </w:tc>
        <w:tc>
          <w:tcPr>
            <w:tcW w:w="5063" w:type="dxa"/>
            <w:shd w:val="clear" w:color="auto" w:fill="FFFFFF"/>
            <w:tcMar>
              <w:left w:w="20" w:type="dxa"/>
              <w:right w:w="20" w:type="dxa"/>
            </w:tcMar>
          </w:tcPr>
          <w:p w14:paraId="5A2A6D8D" w14:textId="491635A7" w:rsidR="004853E6" w:rsidRPr="00A311D2" w:rsidRDefault="004853E6" w:rsidP="00CD1CE2">
            <w:pPr>
              <w:spacing w:after="160"/>
              <w:rPr>
                <w:sz w:val="22"/>
              </w:rPr>
            </w:pPr>
            <w:r w:rsidRPr="00A311D2">
              <w:rPr>
                <w:sz w:val="22"/>
              </w:rPr>
              <w:t xml:space="preserve">Tillegg ved aktivt redningsarbeid ved ulykke, gjenopplivning, fødselshjelp, prehospital trombolyse ved akutt hjerteinfarkt samt kritisk syke personer som krever intensiv behandling og har behov for monitorering av hjerterytme og O2-metning.  </w:t>
            </w:r>
            <w:r w:rsidRPr="00A311D2">
              <w:rPr>
                <w:sz w:val="22"/>
              </w:rPr>
              <w:br/>
              <w:t xml:space="preserve">  Ugyldig takstkombinasjon: 2ae, 2aek, </w:t>
            </w:r>
            <w:r w:rsidRPr="004853E6">
              <w:rPr>
                <w:i/>
                <w:iCs/>
                <w:sz w:val="22"/>
              </w:rPr>
              <w:t>2aef,</w:t>
            </w:r>
            <w:r>
              <w:rPr>
                <w:sz w:val="22"/>
              </w:rPr>
              <w:t xml:space="preserve"> </w:t>
            </w:r>
            <w:r w:rsidRPr="00A311D2">
              <w:rPr>
                <w:sz w:val="22"/>
              </w:rPr>
              <w:t>2bd, 2ed, 2ee, 2gd, 2hd, 2kd, 2ld, 11bd, 11hd, 11e.</w:t>
            </w:r>
          </w:p>
        </w:tc>
        <w:tc>
          <w:tcPr>
            <w:tcW w:w="779" w:type="dxa"/>
            <w:shd w:val="clear" w:color="auto" w:fill="FFFFFF"/>
            <w:tcMar>
              <w:left w:w="20" w:type="dxa"/>
              <w:right w:w="20" w:type="dxa"/>
            </w:tcMar>
          </w:tcPr>
          <w:p w14:paraId="28B99530" w14:textId="77777777" w:rsidR="004853E6" w:rsidRPr="00A311D2" w:rsidRDefault="004853E6" w:rsidP="00CD1CE2">
            <w:pPr>
              <w:spacing w:after="160"/>
              <w:jc w:val="right"/>
              <w:rPr>
                <w:sz w:val="22"/>
              </w:rPr>
            </w:pPr>
            <w:r w:rsidRPr="00A311D2">
              <w:rPr>
                <w:sz w:val="22"/>
              </w:rPr>
              <w:t>358,–</w:t>
            </w:r>
          </w:p>
        </w:tc>
        <w:tc>
          <w:tcPr>
            <w:tcW w:w="649" w:type="dxa"/>
            <w:shd w:val="clear" w:color="auto" w:fill="FFFFFF"/>
            <w:tcMar>
              <w:left w:w="20" w:type="dxa"/>
              <w:right w:w="20" w:type="dxa"/>
            </w:tcMar>
          </w:tcPr>
          <w:p w14:paraId="729D198B" w14:textId="77777777" w:rsidR="004853E6" w:rsidRPr="00A311D2" w:rsidRDefault="004853E6" w:rsidP="00CD1CE2">
            <w:pPr>
              <w:spacing w:after="160"/>
              <w:jc w:val="right"/>
              <w:rPr>
                <w:sz w:val="22"/>
              </w:rPr>
            </w:pPr>
            <w:r w:rsidRPr="00A311D2">
              <w:rPr>
                <w:sz w:val="22"/>
              </w:rPr>
              <w:t>358,–</w:t>
            </w:r>
          </w:p>
        </w:tc>
        <w:tc>
          <w:tcPr>
            <w:tcW w:w="1039" w:type="dxa"/>
            <w:shd w:val="clear" w:color="auto" w:fill="FFFFFF"/>
            <w:tcMar>
              <w:left w:w="20" w:type="dxa"/>
              <w:right w:w="20" w:type="dxa"/>
            </w:tcMar>
          </w:tcPr>
          <w:p w14:paraId="0FE9D1CD" w14:textId="77777777" w:rsidR="004853E6" w:rsidRPr="00A311D2" w:rsidRDefault="004853E6" w:rsidP="00CD1CE2">
            <w:pPr>
              <w:spacing w:after="160"/>
              <w:jc w:val="right"/>
              <w:rPr>
                <w:sz w:val="22"/>
              </w:rPr>
            </w:pPr>
            <w:r w:rsidRPr="00A311D2">
              <w:rPr>
                <w:sz w:val="22"/>
              </w:rPr>
              <w:t>0,–</w:t>
            </w:r>
          </w:p>
        </w:tc>
        <w:tc>
          <w:tcPr>
            <w:tcW w:w="909" w:type="dxa"/>
            <w:shd w:val="clear" w:color="auto" w:fill="FFFFFF"/>
            <w:tcMar>
              <w:left w:w="20" w:type="dxa"/>
              <w:right w:w="20" w:type="dxa"/>
            </w:tcMar>
          </w:tcPr>
          <w:p w14:paraId="182252F5" w14:textId="77777777" w:rsidR="004853E6" w:rsidRPr="00A311D2" w:rsidRDefault="004853E6" w:rsidP="00CD1CE2">
            <w:pPr>
              <w:spacing w:after="160"/>
              <w:jc w:val="right"/>
              <w:rPr>
                <w:sz w:val="22"/>
              </w:rPr>
            </w:pPr>
          </w:p>
        </w:tc>
        <w:tc>
          <w:tcPr>
            <w:tcW w:w="649" w:type="dxa"/>
            <w:shd w:val="clear" w:color="auto" w:fill="FFFFFF"/>
            <w:tcMar>
              <w:left w:w="20" w:type="dxa"/>
              <w:right w:w="20" w:type="dxa"/>
            </w:tcMar>
          </w:tcPr>
          <w:p w14:paraId="77D53E4B" w14:textId="77777777" w:rsidR="004853E6" w:rsidRPr="00A311D2" w:rsidRDefault="004853E6" w:rsidP="00CD1CE2">
            <w:pPr>
              <w:spacing w:after="160"/>
              <w:jc w:val="right"/>
              <w:rPr>
                <w:sz w:val="22"/>
              </w:rPr>
            </w:pPr>
            <w:r w:rsidRPr="00A311D2">
              <w:rPr>
                <w:sz w:val="22"/>
              </w:rPr>
              <w:t>0</w:t>
            </w:r>
          </w:p>
        </w:tc>
      </w:tr>
    </w:tbl>
    <w:p w14:paraId="088AB799" w14:textId="4CB22D71" w:rsidR="004853E6" w:rsidRDefault="004853E6">
      <w:pPr>
        <w:rPr>
          <w:color w:val="000000"/>
        </w:rPr>
      </w:pPr>
    </w:p>
    <w:p w14:paraId="07FF9B97" w14:textId="77777777" w:rsidR="00FA227F" w:rsidRDefault="00FA227F">
      <w:pPr>
        <w:rPr>
          <w:color w:val="000000"/>
        </w:rPr>
      </w:pPr>
    </w:p>
    <w:p w14:paraId="67D77226" w14:textId="044FE48D" w:rsidR="00FA227F" w:rsidRDefault="00FA227F">
      <w:pPr>
        <w:rPr>
          <w:color w:val="000000"/>
        </w:rPr>
      </w:pPr>
      <w:r>
        <w:rPr>
          <w:color w:val="000000"/>
        </w:rPr>
        <w:t>Takst *124 skal lyde:</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1039"/>
        <w:gridCol w:w="5712"/>
        <w:gridCol w:w="1039"/>
        <w:gridCol w:w="1039"/>
        <w:gridCol w:w="1039"/>
      </w:tblGrid>
      <w:tr w:rsidR="004853E6" w:rsidRPr="00A311D2" w14:paraId="3B8185B2" w14:textId="77777777" w:rsidTr="00CD1CE2">
        <w:tc>
          <w:tcPr>
            <w:tcW w:w="1039" w:type="dxa"/>
            <w:shd w:val="clear" w:color="auto" w:fill="FFFFFF"/>
            <w:tcMar>
              <w:left w:w="20" w:type="dxa"/>
              <w:right w:w="20" w:type="dxa"/>
            </w:tcMar>
          </w:tcPr>
          <w:p w14:paraId="4B89BE49" w14:textId="77777777" w:rsidR="004853E6" w:rsidRPr="00A311D2" w:rsidRDefault="004853E6" w:rsidP="00CD1CE2">
            <w:pPr>
              <w:spacing w:after="160"/>
              <w:rPr>
                <w:sz w:val="22"/>
              </w:rPr>
            </w:pPr>
            <w:r w:rsidRPr="00A311D2">
              <w:rPr>
                <w:sz w:val="22"/>
              </w:rPr>
              <w:t>*124</w:t>
            </w:r>
          </w:p>
        </w:tc>
        <w:tc>
          <w:tcPr>
            <w:tcW w:w="5712" w:type="dxa"/>
            <w:shd w:val="clear" w:color="auto" w:fill="FFFFFF"/>
            <w:tcMar>
              <w:left w:w="20" w:type="dxa"/>
              <w:right w:w="20" w:type="dxa"/>
            </w:tcMar>
          </w:tcPr>
          <w:p w14:paraId="7E55C258" w14:textId="72F2DAF2" w:rsidR="004853E6" w:rsidRPr="00A311D2" w:rsidRDefault="004853E6" w:rsidP="00CD1CE2">
            <w:pPr>
              <w:spacing w:after="160"/>
              <w:rPr>
                <w:sz w:val="22"/>
              </w:rPr>
            </w:pPr>
            <w:r w:rsidRPr="00A311D2">
              <w:rPr>
                <w:sz w:val="22"/>
              </w:rPr>
              <w:t>Bruk av anerkjente skjemaer for kartlegging av sykdomsaktivitet ved behandling og oppfølgning av inflammatoriske revmatiske sykdommer og/eller autoimmune hudsykdommer og nevrodegenerative lidelser. Taksten kan anvendes av spesialister i hudsykdommer, spesialister i nevrologi, spesialister i fysikalsk medisin og spesialister i indremedisin.</w:t>
            </w:r>
          </w:p>
        </w:tc>
        <w:tc>
          <w:tcPr>
            <w:tcW w:w="1039" w:type="dxa"/>
            <w:shd w:val="clear" w:color="auto" w:fill="FFFFFF"/>
            <w:tcMar>
              <w:left w:w="20" w:type="dxa"/>
              <w:right w:w="20" w:type="dxa"/>
            </w:tcMar>
          </w:tcPr>
          <w:p w14:paraId="3B0DA347" w14:textId="77777777" w:rsidR="004853E6" w:rsidRPr="00A311D2" w:rsidRDefault="004853E6" w:rsidP="00CD1CE2">
            <w:pPr>
              <w:spacing w:after="160"/>
              <w:jc w:val="right"/>
              <w:rPr>
                <w:sz w:val="22"/>
              </w:rPr>
            </w:pPr>
            <w:r w:rsidRPr="00A311D2">
              <w:rPr>
                <w:sz w:val="22"/>
              </w:rPr>
              <w:t>200,–</w:t>
            </w:r>
          </w:p>
        </w:tc>
        <w:tc>
          <w:tcPr>
            <w:tcW w:w="1039" w:type="dxa"/>
            <w:shd w:val="clear" w:color="auto" w:fill="FFFFFF"/>
            <w:tcMar>
              <w:left w:w="20" w:type="dxa"/>
              <w:right w:w="20" w:type="dxa"/>
            </w:tcMar>
          </w:tcPr>
          <w:p w14:paraId="153DB7A2" w14:textId="77777777" w:rsidR="004853E6" w:rsidRPr="00A311D2" w:rsidRDefault="004853E6" w:rsidP="00CD1CE2">
            <w:pPr>
              <w:spacing w:after="160"/>
              <w:jc w:val="right"/>
              <w:rPr>
                <w:sz w:val="22"/>
              </w:rPr>
            </w:pPr>
            <w:r w:rsidRPr="00A311D2">
              <w:rPr>
                <w:sz w:val="22"/>
              </w:rPr>
              <w:t>E2</w:t>
            </w:r>
          </w:p>
        </w:tc>
        <w:tc>
          <w:tcPr>
            <w:tcW w:w="1039" w:type="dxa"/>
            <w:shd w:val="clear" w:color="auto" w:fill="FFFFFF"/>
            <w:tcMar>
              <w:left w:w="20" w:type="dxa"/>
              <w:right w:w="20" w:type="dxa"/>
            </w:tcMar>
          </w:tcPr>
          <w:p w14:paraId="7BBA7759" w14:textId="77777777" w:rsidR="004853E6" w:rsidRPr="00A311D2" w:rsidRDefault="004853E6" w:rsidP="00CD1CE2">
            <w:pPr>
              <w:spacing w:after="160"/>
              <w:jc w:val="right"/>
              <w:rPr>
                <w:sz w:val="22"/>
              </w:rPr>
            </w:pPr>
            <w:r w:rsidRPr="00A311D2">
              <w:rPr>
                <w:sz w:val="22"/>
              </w:rPr>
              <w:t>1</w:t>
            </w:r>
          </w:p>
        </w:tc>
      </w:tr>
    </w:tbl>
    <w:p w14:paraId="636D4B7D" w14:textId="7400A354" w:rsidR="004853E6" w:rsidRDefault="004853E6">
      <w:pPr>
        <w:rPr>
          <w:color w:val="000000"/>
        </w:rPr>
      </w:pPr>
    </w:p>
    <w:p w14:paraId="5786C58D" w14:textId="68558BC3" w:rsidR="00FA227F" w:rsidRDefault="00FA227F">
      <w:pPr>
        <w:rPr>
          <w:color w:val="000000"/>
        </w:rPr>
      </w:pPr>
    </w:p>
    <w:p w14:paraId="34DF9401" w14:textId="05FFDACD" w:rsidR="00FA227F" w:rsidRDefault="00FA227F">
      <w:pPr>
        <w:rPr>
          <w:color w:val="000000"/>
        </w:rPr>
      </w:pPr>
      <w:r>
        <w:rPr>
          <w:color w:val="000000"/>
        </w:rPr>
        <w:t>Takst *177k skal lyde:</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Look w:val="04A0" w:firstRow="1" w:lastRow="0" w:firstColumn="1" w:lastColumn="0" w:noHBand="0" w:noVBand="1"/>
      </w:tblPr>
      <w:tblGrid>
        <w:gridCol w:w="1039"/>
        <w:gridCol w:w="5712"/>
        <w:gridCol w:w="1039"/>
        <w:gridCol w:w="1039"/>
        <w:gridCol w:w="1039"/>
      </w:tblGrid>
      <w:tr w:rsidR="008370EE" w:rsidRPr="00A311D2" w14:paraId="6DC9C9E7" w14:textId="77777777" w:rsidTr="00CD1CE2">
        <w:tc>
          <w:tcPr>
            <w:tcW w:w="1039" w:type="dxa"/>
            <w:shd w:val="clear" w:color="auto" w:fill="FFFFFF"/>
            <w:noWrap/>
            <w:tcMar>
              <w:left w:w="20" w:type="dxa"/>
              <w:right w:w="20" w:type="dxa"/>
            </w:tcMar>
          </w:tcPr>
          <w:p w14:paraId="56D81EAB" w14:textId="77777777" w:rsidR="008370EE" w:rsidRPr="00A311D2" w:rsidRDefault="008370EE" w:rsidP="00CD1CE2">
            <w:pPr>
              <w:spacing w:after="160"/>
              <w:rPr>
                <w:sz w:val="22"/>
              </w:rPr>
            </w:pPr>
            <w:r w:rsidRPr="00A311D2">
              <w:rPr>
                <w:sz w:val="22"/>
              </w:rPr>
              <w:t>*177k</w:t>
            </w:r>
          </w:p>
        </w:tc>
        <w:tc>
          <w:tcPr>
            <w:tcW w:w="5712" w:type="dxa"/>
            <w:shd w:val="clear" w:color="auto" w:fill="FFFFFF"/>
            <w:noWrap/>
            <w:tcMar>
              <w:left w:w="20" w:type="dxa"/>
              <w:right w:w="20" w:type="dxa"/>
            </w:tcMar>
          </w:tcPr>
          <w:p w14:paraId="3C1D6E0C" w14:textId="0326AF56" w:rsidR="008370EE" w:rsidRPr="00A311D2" w:rsidRDefault="008370EE" w:rsidP="00CD1CE2">
            <w:pPr>
              <w:spacing w:after="160"/>
              <w:rPr>
                <w:sz w:val="22"/>
              </w:rPr>
            </w:pPr>
            <w:r w:rsidRPr="00A311D2">
              <w:rPr>
                <w:sz w:val="22"/>
              </w:rPr>
              <w:t>Kostholdsprovokasjon hos barnelege ved mistanke om matallergi</w:t>
            </w:r>
            <w:r w:rsidRPr="00A311D2">
              <w:rPr>
                <w:sz w:val="22"/>
                <w:szCs w:val="22"/>
              </w:rPr>
              <w:t xml:space="preserve">. Provokasjon </w:t>
            </w:r>
            <w:r>
              <w:rPr>
                <w:i/>
                <w:iCs/>
                <w:sz w:val="22"/>
                <w:szCs w:val="22"/>
              </w:rPr>
              <w:t xml:space="preserve">hos barnelege </w:t>
            </w:r>
            <w:r w:rsidRPr="00A311D2">
              <w:rPr>
                <w:sz w:val="22"/>
                <w:szCs w:val="22"/>
              </w:rPr>
              <w:t>mot mistenkt allergi mot medikament.</w:t>
            </w:r>
          </w:p>
        </w:tc>
        <w:tc>
          <w:tcPr>
            <w:tcW w:w="1039" w:type="dxa"/>
            <w:shd w:val="clear" w:color="auto" w:fill="FFFFFF"/>
            <w:noWrap/>
            <w:tcMar>
              <w:left w:w="20" w:type="dxa"/>
              <w:right w:w="20" w:type="dxa"/>
            </w:tcMar>
          </w:tcPr>
          <w:p w14:paraId="501399BA" w14:textId="77777777" w:rsidR="008370EE" w:rsidRPr="00A311D2" w:rsidRDefault="008370EE" w:rsidP="00CD1CE2">
            <w:pPr>
              <w:spacing w:after="160"/>
              <w:jc w:val="right"/>
              <w:rPr>
                <w:sz w:val="22"/>
              </w:rPr>
            </w:pPr>
            <w:r w:rsidRPr="00A311D2">
              <w:rPr>
                <w:sz w:val="22"/>
              </w:rPr>
              <w:t>700,–</w:t>
            </w:r>
          </w:p>
        </w:tc>
        <w:tc>
          <w:tcPr>
            <w:tcW w:w="1039" w:type="dxa"/>
            <w:shd w:val="clear" w:color="auto" w:fill="FFFFFF"/>
            <w:noWrap/>
            <w:tcMar>
              <w:left w:w="20" w:type="dxa"/>
              <w:right w:w="20" w:type="dxa"/>
            </w:tcMar>
          </w:tcPr>
          <w:p w14:paraId="1AFD4678" w14:textId="77777777" w:rsidR="008370EE" w:rsidRPr="00A311D2" w:rsidRDefault="008370EE" w:rsidP="00CD1CE2">
            <w:pPr>
              <w:spacing w:after="160"/>
              <w:jc w:val="right"/>
              <w:rPr>
                <w:sz w:val="22"/>
              </w:rPr>
            </w:pPr>
            <w:r w:rsidRPr="00A311D2">
              <w:rPr>
                <w:sz w:val="22"/>
              </w:rPr>
              <w:t>E2</w:t>
            </w:r>
          </w:p>
        </w:tc>
        <w:tc>
          <w:tcPr>
            <w:tcW w:w="1039" w:type="dxa"/>
            <w:shd w:val="clear" w:color="auto" w:fill="FFFFFF"/>
            <w:noWrap/>
            <w:tcMar>
              <w:left w:w="20" w:type="dxa"/>
              <w:right w:w="20" w:type="dxa"/>
            </w:tcMar>
          </w:tcPr>
          <w:p w14:paraId="01853187" w14:textId="77777777" w:rsidR="008370EE" w:rsidRPr="00A311D2" w:rsidRDefault="008370EE" w:rsidP="00CD1CE2">
            <w:pPr>
              <w:spacing w:after="160"/>
              <w:jc w:val="right"/>
              <w:rPr>
                <w:sz w:val="22"/>
              </w:rPr>
            </w:pPr>
            <w:r w:rsidRPr="00A311D2">
              <w:rPr>
                <w:sz w:val="22"/>
              </w:rPr>
              <w:t>0</w:t>
            </w:r>
          </w:p>
        </w:tc>
      </w:tr>
    </w:tbl>
    <w:p w14:paraId="5F7FC305" w14:textId="436977D9" w:rsidR="004853E6" w:rsidRDefault="004853E6">
      <w:pPr>
        <w:rPr>
          <w:color w:val="000000"/>
        </w:rPr>
      </w:pPr>
    </w:p>
    <w:p w14:paraId="4027A24A" w14:textId="77777777" w:rsidR="004853E6" w:rsidRDefault="004853E6">
      <w:pPr>
        <w:rPr>
          <w:color w:val="000000"/>
        </w:rPr>
      </w:pPr>
    </w:p>
    <w:p w14:paraId="1741D43A" w14:textId="211FDE9A" w:rsidR="008F1E4E" w:rsidRDefault="00FA227F">
      <w:pPr>
        <w:rPr>
          <w:color w:val="000000"/>
        </w:rPr>
      </w:pPr>
      <w:r>
        <w:rPr>
          <w:color w:val="000000"/>
        </w:rPr>
        <w:t>Merknad D1 skal lyde:</w:t>
      </w:r>
    </w:p>
    <w:p w14:paraId="2167A46C" w14:textId="77777777" w:rsidR="004853E6" w:rsidRDefault="004853E6" w:rsidP="004853E6">
      <w:pPr>
        <w:pStyle w:val="xmsonormal"/>
      </w:pPr>
      <w:r>
        <w:t> </w:t>
      </w:r>
    </w:p>
    <w:p w14:paraId="0020A527" w14:textId="77777777" w:rsidR="008F1E4E" w:rsidRPr="008F1E4E" w:rsidRDefault="008F1E4E" w:rsidP="008F1E4E">
      <w:pPr>
        <w:spacing w:before="120"/>
        <w:ind w:firstLine="180"/>
        <w:rPr>
          <w:sz w:val="6"/>
        </w:rPr>
      </w:pPr>
      <w:r w:rsidRPr="008F1E4E">
        <w:rPr>
          <w:sz w:val="22"/>
        </w:rPr>
        <w:t>Takstene under:</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8F1E4E" w:rsidRPr="008F1E4E" w14:paraId="0678FBE2" w14:textId="77777777" w:rsidTr="00CD1CE2">
        <w:tc>
          <w:tcPr>
            <w:tcW w:w="360" w:type="dxa"/>
            <w:shd w:val="clear" w:color="auto" w:fill="FFFFFF"/>
            <w:noWrap/>
            <w:tcMar>
              <w:left w:w="20" w:type="dxa"/>
              <w:right w:w="80" w:type="dxa"/>
            </w:tcMar>
          </w:tcPr>
          <w:p w14:paraId="7F6C8A5A" w14:textId="77777777" w:rsidR="008F1E4E" w:rsidRPr="008F1E4E" w:rsidRDefault="008F1E4E" w:rsidP="00CD1CE2">
            <w:pPr>
              <w:jc w:val="right"/>
              <w:rPr>
                <w:sz w:val="22"/>
              </w:rPr>
            </w:pPr>
            <w:r w:rsidRPr="008F1E4E">
              <w:rPr>
                <w:sz w:val="22"/>
              </w:rPr>
              <w:t>A:</w:t>
            </w:r>
          </w:p>
        </w:tc>
        <w:tc>
          <w:tcPr>
            <w:tcW w:w="9506" w:type="dxa"/>
            <w:shd w:val="clear" w:color="auto" w:fill="FFFFFF"/>
            <w:noWrap/>
            <w:tcMar>
              <w:left w:w="20" w:type="dxa"/>
              <w:right w:w="80" w:type="dxa"/>
            </w:tcMar>
          </w:tcPr>
          <w:p w14:paraId="02049FF4" w14:textId="77777777" w:rsidR="008F1E4E" w:rsidRPr="008F1E4E" w:rsidRDefault="008F1E4E" w:rsidP="00CD1CE2">
            <w:pPr>
              <w:rPr>
                <w:sz w:val="22"/>
              </w:rPr>
            </w:pPr>
            <w:r w:rsidRPr="008F1E4E">
              <w:rPr>
                <w:sz w:val="22"/>
              </w:rPr>
              <w:t>1ak, 1bk.</w:t>
            </w:r>
          </w:p>
        </w:tc>
      </w:tr>
    </w:tbl>
    <w:p w14:paraId="6A63AEF8" w14:textId="77777777" w:rsidR="008F1E4E" w:rsidRPr="008F1E4E" w:rsidRDefault="008F1E4E" w:rsidP="008F1E4E">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8F1E4E" w:rsidRPr="008F1E4E" w14:paraId="2C291A17" w14:textId="77777777" w:rsidTr="00CD1CE2">
        <w:tc>
          <w:tcPr>
            <w:tcW w:w="360" w:type="dxa"/>
            <w:shd w:val="clear" w:color="auto" w:fill="FFFFFF"/>
            <w:noWrap/>
            <w:tcMar>
              <w:left w:w="20" w:type="dxa"/>
              <w:right w:w="80" w:type="dxa"/>
            </w:tcMar>
          </w:tcPr>
          <w:p w14:paraId="0D3C54D3" w14:textId="77777777" w:rsidR="008F1E4E" w:rsidRPr="008F1E4E" w:rsidRDefault="008F1E4E" w:rsidP="00CD1CE2">
            <w:pPr>
              <w:jc w:val="right"/>
              <w:rPr>
                <w:sz w:val="22"/>
              </w:rPr>
            </w:pPr>
            <w:r w:rsidRPr="008F1E4E">
              <w:rPr>
                <w:sz w:val="22"/>
              </w:rPr>
              <w:t>B:</w:t>
            </w:r>
          </w:p>
        </w:tc>
        <w:tc>
          <w:tcPr>
            <w:tcW w:w="9506" w:type="dxa"/>
            <w:shd w:val="clear" w:color="auto" w:fill="FFFFFF"/>
            <w:noWrap/>
            <w:tcMar>
              <w:left w:w="20" w:type="dxa"/>
              <w:right w:w="80" w:type="dxa"/>
            </w:tcMar>
          </w:tcPr>
          <w:p w14:paraId="5E8EED0E" w14:textId="782ABA78" w:rsidR="008F1E4E" w:rsidRPr="008F1E4E" w:rsidRDefault="008F1E4E" w:rsidP="00CD1CE2">
            <w:pPr>
              <w:rPr>
                <w:sz w:val="22"/>
              </w:rPr>
            </w:pPr>
            <w:r w:rsidRPr="008F1E4E">
              <w:rPr>
                <w:sz w:val="22"/>
              </w:rPr>
              <w:t xml:space="preserve">2ak, </w:t>
            </w:r>
            <w:r w:rsidRPr="008F1E4E">
              <w:rPr>
                <w:i/>
                <w:iCs/>
                <w:sz w:val="22"/>
              </w:rPr>
              <w:t>2aef,</w:t>
            </w:r>
            <w:r>
              <w:rPr>
                <w:sz w:val="22"/>
              </w:rPr>
              <w:t xml:space="preserve"> </w:t>
            </w:r>
            <w:r w:rsidRPr="008F1E4E">
              <w:rPr>
                <w:sz w:val="22"/>
              </w:rPr>
              <w:t>2aek, 2ck, 2dk, 2fk, 2nk, 11ak, 11ck, 11dk, 11nk.</w:t>
            </w:r>
          </w:p>
        </w:tc>
      </w:tr>
    </w:tbl>
    <w:p w14:paraId="3FDA9C54" w14:textId="77777777" w:rsidR="008F1E4E" w:rsidRPr="008F1E4E" w:rsidRDefault="008F1E4E" w:rsidP="008F1E4E">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8F1E4E" w:rsidRPr="008F1E4E" w14:paraId="428266ED" w14:textId="77777777" w:rsidTr="00CD1CE2">
        <w:tc>
          <w:tcPr>
            <w:tcW w:w="360" w:type="dxa"/>
            <w:shd w:val="clear" w:color="auto" w:fill="FFFFFF"/>
            <w:noWrap/>
            <w:tcMar>
              <w:left w:w="20" w:type="dxa"/>
              <w:right w:w="80" w:type="dxa"/>
            </w:tcMar>
          </w:tcPr>
          <w:p w14:paraId="40AC104B" w14:textId="77777777" w:rsidR="008F1E4E" w:rsidRPr="008F1E4E" w:rsidRDefault="008F1E4E" w:rsidP="00CD1CE2">
            <w:pPr>
              <w:jc w:val="right"/>
              <w:rPr>
                <w:sz w:val="22"/>
              </w:rPr>
            </w:pPr>
            <w:r w:rsidRPr="008F1E4E">
              <w:rPr>
                <w:sz w:val="22"/>
              </w:rPr>
              <w:t>C:</w:t>
            </w:r>
          </w:p>
        </w:tc>
        <w:tc>
          <w:tcPr>
            <w:tcW w:w="9506" w:type="dxa"/>
            <w:shd w:val="clear" w:color="auto" w:fill="FFFFFF"/>
            <w:noWrap/>
            <w:tcMar>
              <w:left w:w="20" w:type="dxa"/>
              <w:right w:w="80" w:type="dxa"/>
            </w:tcMar>
          </w:tcPr>
          <w:p w14:paraId="23F9D58E" w14:textId="77777777" w:rsidR="008F1E4E" w:rsidRPr="008F1E4E" w:rsidRDefault="008F1E4E" w:rsidP="00CD1CE2">
            <w:pPr>
              <w:rPr>
                <w:sz w:val="22"/>
              </w:rPr>
            </w:pPr>
            <w:r w:rsidRPr="008F1E4E">
              <w:rPr>
                <w:sz w:val="22"/>
              </w:rPr>
              <w:t>21k, 21k2.</w:t>
            </w:r>
          </w:p>
        </w:tc>
      </w:tr>
    </w:tbl>
    <w:p w14:paraId="1FB370BC" w14:textId="77777777" w:rsidR="008F1E4E" w:rsidRPr="008F1E4E" w:rsidRDefault="008F1E4E" w:rsidP="008F1E4E">
      <w:pPr>
        <w:rPr>
          <w:sz w:val="6"/>
        </w:rPr>
      </w:pPr>
    </w:p>
    <w:p w14:paraId="41F89F95" w14:textId="77777777" w:rsidR="008F1E4E" w:rsidRPr="008F1E4E" w:rsidRDefault="008F1E4E" w:rsidP="008F1E4E">
      <w:pPr>
        <w:spacing w:before="120"/>
        <w:ind w:firstLine="180"/>
        <w:rPr>
          <w:sz w:val="6"/>
        </w:rPr>
      </w:pPr>
      <w:r w:rsidRPr="008F1E4E">
        <w:rPr>
          <w:sz w:val="22"/>
        </w:rPr>
        <w:t>Med mindre annet spesielt er nevnt nedenfor, skal dagtakster alltid benyttes når lege foretar konsultasjon eller sykebesøk i sin legepraksis.</w:t>
      </w:r>
    </w:p>
    <w:p w14:paraId="7A0EF550" w14:textId="77777777" w:rsidR="008F1E4E" w:rsidRPr="008F1E4E" w:rsidRDefault="008F1E4E" w:rsidP="008F1E4E">
      <w:pPr>
        <w:spacing w:before="120"/>
        <w:ind w:firstLine="180"/>
        <w:rPr>
          <w:sz w:val="6"/>
        </w:rPr>
      </w:pPr>
      <w:r w:rsidRPr="008F1E4E">
        <w:rPr>
          <w:sz w:val="22"/>
        </w:rPr>
        <w:t>Når legens konsultasjon/sykebesøk finner sted mellom kl. 16 og 08 eller når reisen begynner før kl. 07, og likeså når konsultasjonen eller sykebesøket finner sted dagen før søn- og helgedager til kl. 08 følgende arbeidsdag, samt på offentlige høytidsdager, kan legen likevel benytte ovennevnte kveldstakster i følgende tilfeller:</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8F1E4E" w:rsidRPr="008F1E4E" w14:paraId="606BDC34" w14:textId="77777777" w:rsidTr="00CD1CE2">
        <w:tc>
          <w:tcPr>
            <w:tcW w:w="360" w:type="dxa"/>
            <w:shd w:val="clear" w:color="auto" w:fill="FFFFFF"/>
            <w:noWrap/>
            <w:tcMar>
              <w:left w:w="20" w:type="dxa"/>
              <w:right w:w="80" w:type="dxa"/>
            </w:tcMar>
          </w:tcPr>
          <w:p w14:paraId="2AE5E444" w14:textId="77777777" w:rsidR="008F1E4E" w:rsidRPr="008F1E4E" w:rsidRDefault="008F1E4E" w:rsidP="00CD1CE2">
            <w:pPr>
              <w:jc w:val="right"/>
              <w:rPr>
                <w:sz w:val="22"/>
              </w:rPr>
            </w:pPr>
            <w:r w:rsidRPr="008F1E4E">
              <w:rPr>
                <w:sz w:val="22"/>
              </w:rPr>
              <w:t>-</w:t>
            </w:r>
          </w:p>
        </w:tc>
        <w:tc>
          <w:tcPr>
            <w:tcW w:w="9506" w:type="dxa"/>
            <w:shd w:val="clear" w:color="auto" w:fill="FFFFFF"/>
            <w:noWrap/>
            <w:tcMar>
              <w:left w:w="20" w:type="dxa"/>
              <w:right w:w="80" w:type="dxa"/>
            </w:tcMar>
          </w:tcPr>
          <w:p w14:paraId="5072D540" w14:textId="77777777" w:rsidR="008F1E4E" w:rsidRPr="008F1E4E" w:rsidRDefault="008F1E4E" w:rsidP="00CD1CE2">
            <w:pPr>
              <w:rPr>
                <w:sz w:val="22"/>
              </w:rPr>
            </w:pPr>
            <w:r w:rsidRPr="008F1E4E">
              <w:rPr>
                <w:sz w:val="22"/>
              </w:rPr>
              <w:t>i kontorpraksis der pasienten har samtykket i bruk av e-konsultasjon etter klokken 16.</w:t>
            </w:r>
          </w:p>
        </w:tc>
      </w:tr>
    </w:tbl>
    <w:p w14:paraId="24EB9C92" w14:textId="77777777" w:rsidR="008F1E4E" w:rsidRPr="008F1E4E" w:rsidRDefault="008F1E4E" w:rsidP="008F1E4E">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8F1E4E" w:rsidRPr="008F1E4E" w14:paraId="2F13A75E" w14:textId="77777777" w:rsidTr="00CD1CE2">
        <w:tc>
          <w:tcPr>
            <w:tcW w:w="360" w:type="dxa"/>
            <w:shd w:val="clear" w:color="auto" w:fill="FFFFFF"/>
            <w:noWrap/>
            <w:tcMar>
              <w:left w:w="20" w:type="dxa"/>
              <w:right w:w="80" w:type="dxa"/>
            </w:tcMar>
          </w:tcPr>
          <w:p w14:paraId="7DE2532B" w14:textId="77777777" w:rsidR="008F1E4E" w:rsidRPr="008F1E4E" w:rsidRDefault="008F1E4E" w:rsidP="00CD1CE2">
            <w:pPr>
              <w:jc w:val="right"/>
              <w:rPr>
                <w:sz w:val="22"/>
              </w:rPr>
            </w:pPr>
            <w:r w:rsidRPr="008F1E4E">
              <w:rPr>
                <w:sz w:val="22"/>
              </w:rPr>
              <w:t>-</w:t>
            </w:r>
          </w:p>
        </w:tc>
        <w:tc>
          <w:tcPr>
            <w:tcW w:w="9506" w:type="dxa"/>
            <w:shd w:val="clear" w:color="auto" w:fill="FFFFFF"/>
            <w:noWrap/>
            <w:tcMar>
              <w:left w:w="20" w:type="dxa"/>
              <w:right w:w="80" w:type="dxa"/>
            </w:tcMar>
          </w:tcPr>
          <w:p w14:paraId="6E9D996C" w14:textId="77777777" w:rsidR="008F1E4E" w:rsidRPr="008F1E4E" w:rsidRDefault="008F1E4E" w:rsidP="00CD1CE2">
            <w:pPr>
              <w:rPr>
                <w:sz w:val="22"/>
              </w:rPr>
            </w:pPr>
            <w:r w:rsidRPr="008F1E4E">
              <w:rPr>
                <w:sz w:val="22"/>
              </w:rPr>
              <w:t>ved kommunalt organisert legevakt.</w:t>
            </w:r>
          </w:p>
        </w:tc>
      </w:tr>
    </w:tbl>
    <w:p w14:paraId="2008809D" w14:textId="77777777" w:rsidR="008F1E4E" w:rsidRPr="008F1E4E" w:rsidRDefault="008F1E4E" w:rsidP="008F1E4E">
      <w:pPr>
        <w:rPr>
          <w:sz w:val="6"/>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60"/>
        <w:gridCol w:w="9506"/>
      </w:tblGrid>
      <w:tr w:rsidR="008F1E4E" w:rsidRPr="008F1E4E" w14:paraId="4106A32B" w14:textId="77777777" w:rsidTr="00CD1CE2">
        <w:tc>
          <w:tcPr>
            <w:tcW w:w="360" w:type="dxa"/>
            <w:shd w:val="clear" w:color="auto" w:fill="FFFFFF"/>
            <w:noWrap/>
            <w:tcMar>
              <w:left w:w="20" w:type="dxa"/>
              <w:right w:w="80" w:type="dxa"/>
            </w:tcMar>
          </w:tcPr>
          <w:p w14:paraId="013ADB1C" w14:textId="77777777" w:rsidR="008F1E4E" w:rsidRPr="008F1E4E" w:rsidRDefault="008F1E4E" w:rsidP="00CD1CE2">
            <w:pPr>
              <w:jc w:val="right"/>
              <w:rPr>
                <w:sz w:val="22"/>
              </w:rPr>
            </w:pPr>
            <w:r w:rsidRPr="008F1E4E">
              <w:rPr>
                <w:sz w:val="22"/>
              </w:rPr>
              <w:t>-</w:t>
            </w:r>
          </w:p>
        </w:tc>
        <w:tc>
          <w:tcPr>
            <w:tcW w:w="9506" w:type="dxa"/>
            <w:shd w:val="clear" w:color="auto" w:fill="FFFFFF"/>
            <w:noWrap/>
            <w:tcMar>
              <w:left w:w="20" w:type="dxa"/>
              <w:right w:w="80" w:type="dxa"/>
            </w:tcMar>
          </w:tcPr>
          <w:p w14:paraId="49F46D01" w14:textId="77777777" w:rsidR="008F1E4E" w:rsidRPr="008F1E4E" w:rsidRDefault="008F1E4E" w:rsidP="00CD1CE2">
            <w:pPr>
              <w:rPr>
                <w:sz w:val="22"/>
              </w:rPr>
            </w:pPr>
            <w:r w:rsidRPr="008F1E4E">
              <w:rPr>
                <w:sz w:val="22"/>
              </w:rPr>
              <w:t>ved uforutsette konsultasjoner/sykebesøk som gjelder øyeblikkelig hjelp og i tilfeller som av medisinske grunner ikke kan utsettes til neste dag, og som legen ikke kan ta i sin ordinære arbeidstid.</w:t>
            </w:r>
          </w:p>
        </w:tc>
      </w:tr>
    </w:tbl>
    <w:p w14:paraId="36AE8BD4" w14:textId="77777777" w:rsidR="008F1E4E" w:rsidRPr="008F1E4E" w:rsidRDefault="008F1E4E" w:rsidP="008F1E4E">
      <w:pPr>
        <w:rPr>
          <w:sz w:val="6"/>
        </w:rPr>
      </w:pPr>
    </w:p>
    <w:p w14:paraId="61370A5F" w14:textId="77777777" w:rsidR="008F1E4E" w:rsidRPr="008F1E4E" w:rsidRDefault="008F1E4E" w:rsidP="008F1E4E">
      <w:pPr>
        <w:spacing w:before="120"/>
        <w:ind w:firstLine="180"/>
        <w:rPr>
          <w:sz w:val="6"/>
        </w:rPr>
      </w:pPr>
      <w:r w:rsidRPr="008F1E4E">
        <w:rPr>
          <w:sz w:val="22"/>
        </w:rPr>
        <w:t>Kveldstakster kan ikke benyttes av leger som har åpen praksis i tidsrom som nevnt ovenfor, herunder tilbyr tjenester i form av sykebesøk o.l.</w:t>
      </w:r>
    </w:p>
    <w:p w14:paraId="73AFD155" w14:textId="5EAB7237" w:rsidR="004853E6" w:rsidRDefault="004853E6">
      <w:pPr>
        <w:rPr>
          <w:sz w:val="22"/>
        </w:rPr>
      </w:pPr>
    </w:p>
    <w:p w14:paraId="724991A0" w14:textId="0F07CF5C" w:rsidR="00FA227F" w:rsidRDefault="00FA227F">
      <w:pPr>
        <w:rPr>
          <w:sz w:val="22"/>
        </w:rPr>
      </w:pPr>
    </w:p>
    <w:p w14:paraId="39AAB5E5" w14:textId="24068FC0" w:rsidR="00FA227F" w:rsidRDefault="00FA227F" w:rsidP="00FA227F">
      <w:pPr>
        <w:jc w:val="center"/>
        <w:rPr>
          <w:b/>
          <w:bCs/>
          <w:sz w:val="22"/>
        </w:rPr>
      </w:pPr>
      <w:r w:rsidRPr="00FA227F">
        <w:rPr>
          <w:b/>
          <w:bCs/>
          <w:sz w:val="22"/>
        </w:rPr>
        <w:t>II</w:t>
      </w:r>
    </w:p>
    <w:p w14:paraId="2AC56E66" w14:textId="00102F0C" w:rsidR="00FA227F" w:rsidRPr="00FA227F" w:rsidRDefault="00FA227F" w:rsidP="00FA227F">
      <w:pPr>
        <w:rPr>
          <w:sz w:val="22"/>
        </w:rPr>
      </w:pPr>
      <w:r>
        <w:rPr>
          <w:sz w:val="22"/>
        </w:rPr>
        <w:t>Forskriften trer i kraft 1. juli 2023.</w:t>
      </w:r>
    </w:p>
    <w:bookmarkEnd w:id="1"/>
    <w:bookmarkEnd w:id="0"/>
    <w:sectPr w:rsidR="00FA227F" w:rsidRPr="00FA227F">
      <w:footerReference w:type="default" r:id="rId14"/>
      <w:pgSz w:w="11906" w:h="16838"/>
      <w:pgMar w:top="1020" w:right="1020" w:bottom="1020"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3C65" w14:textId="77777777" w:rsidR="007923AD" w:rsidRDefault="007923AD">
      <w:r>
        <w:separator/>
      </w:r>
    </w:p>
  </w:endnote>
  <w:endnote w:type="continuationSeparator" w:id="0">
    <w:p w14:paraId="0E8CBBEE" w14:textId="77777777" w:rsidR="007923AD" w:rsidRDefault="0079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1316" w14:textId="77777777" w:rsidR="004D45C3" w:rsidRDefault="00260A2B">
    <w:pPr>
      <w:jc w:val="center"/>
      <w:rPr>
        <w:sz w:val="22"/>
      </w:rPr>
    </w:pPr>
    <w:r>
      <w:rPr>
        <w:sz w:val="22"/>
      </w:rPr>
      <w:t xml:space="preserve"> </w:t>
    </w:r>
  </w:p>
  <w:p w14:paraId="248033F4" w14:textId="77777777" w:rsidR="004D45C3" w:rsidRDefault="00260A2B">
    <w:pPr>
      <w:jc w:val="center"/>
      <w:rPr>
        <w:sz w:val="22"/>
      </w:rPr>
    </w:pPr>
    <w:r>
      <w:rPr>
        <w:sz w:val="22"/>
      </w:rPr>
      <w:t xml:space="preserve">Side </w:t>
    </w:r>
    <w:r>
      <w:rPr>
        <w:sz w:val="22"/>
      </w:rPr>
      <w:fldChar w:fldCharType="begin"/>
    </w:r>
    <w:r>
      <w:rPr>
        <w:sz w:val="22"/>
      </w:rPr>
      <w:instrText>PAGE</w:instrText>
    </w:r>
    <w:r>
      <w:rPr>
        <w:sz w:val="22"/>
      </w:rPr>
      <w:fldChar w:fldCharType="separate"/>
    </w:r>
    <w:r>
      <w:rPr>
        <w:sz w:val="22"/>
      </w:rPr>
      <w:t>42</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DEA0" w14:textId="77777777" w:rsidR="007923AD" w:rsidRDefault="007923AD">
      <w:r>
        <w:separator/>
      </w:r>
    </w:p>
  </w:footnote>
  <w:footnote w:type="continuationSeparator" w:id="0">
    <w:p w14:paraId="342EDD24" w14:textId="77777777" w:rsidR="007923AD" w:rsidRDefault="00792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D07AB"/>
    <w:multiLevelType w:val="hybridMultilevel"/>
    <w:tmpl w:val="0EE6E8AA"/>
    <w:lvl w:ilvl="0" w:tplc="04140001">
      <w:start w:val="2"/>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5515636"/>
    <w:multiLevelType w:val="multilevel"/>
    <w:tmpl w:val="4C70F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87D3D"/>
    <w:multiLevelType w:val="hybridMultilevel"/>
    <w:tmpl w:val="AFBA29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416827833">
    <w:abstractNumId w:val="0"/>
  </w:num>
  <w:num w:numId="2" w16cid:durableId="617687158">
    <w:abstractNumId w:val="2"/>
  </w:num>
  <w:num w:numId="3" w16cid:durableId="160283943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32AD"/>
    <w:rsid w:val="00023F22"/>
    <w:rsid w:val="00037F84"/>
    <w:rsid w:val="00065BB6"/>
    <w:rsid w:val="00067B33"/>
    <w:rsid w:val="00080A98"/>
    <w:rsid w:val="000976D1"/>
    <w:rsid w:val="000A3DBC"/>
    <w:rsid w:val="000B6080"/>
    <w:rsid w:val="000D282B"/>
    <w:rsid w:val="000E7581"/>
    <w:rsid w:val="00104515"/>
    <w:rsid w:val="00174DCC"/>
    <w:rsid w:val="001820F2"/>
    <w:rsid w:val="001859FA"/>
    <w:rsid w:val="001B3010"/>
    <w:rsid w:val="001D1B6A"/>
    <w:rsid w:val="001E39CE"/>
    <w:rsid w:val="00202897"/>
    <w:rsid w:val="00212E8A"/>
    <w:rsid w:val="002413E2"/>
    <w:rsid w:val="002548D7"/>
    <w:rsid w:val="00260A2B"/>
    <w:rsid w:val="002618C5"/>
    <w:rsid w:val="00280E1D"/>
    <w:rsid w:val="002828E5"/>
    <w:rsid w:val="002D04F1"/>
    <w:rsid w:val="00301C89"/>
    <w:rsid w:val="0030443D"/>
    <w:rsid w:val="00357DE4"/>
    <w:rsid w:val="00371D05"/>
    <w:rsid w:val="003775AA"/>
    <w:rsid w:val="00384A23"/>
    <w:rsid w:val="003A31B3"/>
    <w:rsid w:val="003B0FBC"/>
    <w:rsid w:val="003F27D1"/>
    <w:rsid w:val="00421B21"/>
    <w:rsid w:val="004277B3"/>
    <w:rsid w:val="004366A8"/>
    <w:rsid w:val="00445AF3"/>
    <w:rsid w:val="0045189B"/>
    <w:rsid w:val="00453FDC"/>
    <w:rsid w:val="00475788"/>
    <w:rsid w:val="004853E6"/>
    <w:rsid w:val="004D45C3"/>
    <w:rsid w:val="004D4A52"/>
    <w:rsid w:val="0051207C"/>
    <w:rsid w:val="00512528"/>
    <w:rsid w:val="0057007A"/>
    <w:rsid w:val="00571A21"/>
    <w:rsid w:val="005804B5"/>
    <w:rsid w:val="005B32D2"/>
    <w:rsid w:val="005B352F"/>
    <w:rsid w:val="005C014E"/>
    <w:rsid w:val="00610634"/>
    <w:rsid w:val="00631A57"/>
    <w:rsid w:val="00650AA6"/>
    <w:rsid w:val="00650E0E"/>
    <w:rsid w:val="0069047B"/>
    <w:rsid w:val="006A15F8"/>
    <w:rsid w:val="006A7418"/>
    <w:rsid w:val="006C011C"/>
    <w:rsid w:val="006C7EC1"/>
    <w:rsid w:val="006E7099"/>
    <w:rsid w:val="0071150D"/>
    <w:rsid w:val="00775D44"/>
    <w:rsid w:val="0078079E"/>
    <w:rsid w:val="007848EB"/>
    <w:rsid w:val="007923AD"/>
    <w:rsid w:val="007B15D5"/>
    <w:rsid w:val="007D661F"/>
    <w:rsid w:val="007D7433"/>
    <w:rsid w:val="007E4D2F"/>
    <w:rsid w:val="007E5E5A"/>
    <w:rsid w:val="008211D4"/>
    <w:rsid w:val="00826850"/>
    <w:rsid w:val="008370EE"/>
    <w:rsid w:val="00857F92"/>
    <w:rsid w:val="00860A36"/>
    <w:rsid w:val="00891C95"/>
    <w:rsid w:val="008D259E"/>
    <w:rsid w:val="008E5F10"/>
    <w:rsid w:val="008F1E4E"/>
    <w:rsid w:val="008F5F5B"/>
    <w:rsid w:val="00912157"/>
    <w:rsid w:val="009420C7"/>
    <w:rsid w:val="009449F8"/>
    <w:rsid w:val="00975CA4"/>
    <w:rsid w:val="00993DBF"/>
    <w:rsid w:val="009A7190"/>
    <w:rsid w:val="009D14F0"/>
    <w:rsid w:val="009E4D5E"/>
    <w:rsid w:val="00A05B92"/>
    <w:rsid w:val="00A311D2"/>
    <w:rsid w:val="00A45A66"/>
    <w:rsid w:val="00A77B3E"/>
    <w:rsid w:val="00A849E6"/>
    <w:rsid w:val="00A87E3F"/>
    <w:rsid w:val="00AA61D8"/>
    <w:rsid w:val="00AC0CCB"/>
    <w:rsid w:val="00AC57DF"/>
    <w:rsid w:val="00AE73A3"/>
    <w:rsid w:val="00B02D82"/>
    <w:rsid w:val="00B55AA8"/>
    <w:rsid w:val="00B7417B"/>
    <w:rsid w:val="00B96427"/>
    <w:rsid w:val="00BB23F1"/>
    <w:rsid w:val="00BB23F5"/>
    <w:rsid w:val="00BC0340"/>
    <w:rsid w:val="00BC6A8B"/>
    <w:rsid w:val="00C277AB"/>
    <w:rsid w:val="00C47F61"/>
    <w:rsid w:val="00C53D4A"/>
    <w:rsid w:val="00C7510C"/>
    <w:rsid w:val="00C7663B"/>
    <w:rsid w:val="00C92F7A"/>
    <w:rsid w:val="00CA2A55"/>
    <w:rsid w:val="00CB011C"/>
    <w:rsid w:val="00CB1FE0"/>
    <w:rsid w:val="00CE27FC"/>
    <w:rsid w:val="00CF565C"/>
    <w:rsid w:val="00CF608B"/>
    <w:rsid w:val="00CF7A7A"/>
    <w:rsid w:val="00D05223"/>
    <w:rsid w:val="00D105E0"/>
    <w:rsid w:val="00D22E97"/>
    <w:rsid w:val="00D4508F"/>
    <w:rsid w:val="00D47E5C"/>
    <w:rsid w:val="00D845C0"/>
    <w:rsid w:val="00D91910"/>
    <w:rsid w:val="00DA182C"/>
    <w:rsid w:val="00DE0FCF"/>
    <w:rsid w:val="00DF30D6"/>
    <w:rsid w:val="00E30454"/>
    <w:rsid w:val="00E96AF7"/>
    <w:rsid w:val="00EA4947"/>
    <w:rsid w:val="00EB00DB"/>
    <w:rsid w:val="00EB5D26"/>
    <w:rsid w:val="00EE28DC"/>
    <w:rsid w:val="00EF1DDA"/>
    <w:rsid w:val="00F27F39"/>
    <w:rsid w:val="00F364EF"/>
    <w:rsid w:val="00F368C3"/>
    <w:rsid w:val="00F47E60"/>
    <w:rsid w:val="00F71FDE"/>
    <w:rsid w:val="00F7365A"/>
    <w:rsid w:val="00F77A83"/>
    <w:rsid w:val="00F96C05"/>
    <w:rsid w:val="00FA227F"/>
    <w:rsid w:val="00FA2E59"/>
    <w:rsid w:val="00FD11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0E5A8"/>
  <w15:docId w15:val="{CA9FBD0F-EE67-4C51-8F0C-53C8C0AA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paragraph" w:styleId="Overskrift5">
    <w:name w:val="heading 5"/>
    <w:basedOn w:val="Normal"/>
    <w:next w:val="Normal"/>
    <w:qFormat/>
    <w:rsid w:val="00EF7B96"/>
    <w:pPr>
      <w:spacing w:before="240" w:after="60"/>
      <w:outlineLvl w:val="4"/>
    </w:pPr>
    <w:rPr>
      <w:b/>
      <w:bCs/>
      <w:iCs/>
      <w:sz w:val="26"/>
      <w:szCs w:val="26"/>
    </w:rPr>
  </w:style>
  <w:style w:type="paragraph" w:styleId="Overskrift6">
    <w:name w:val="heading 6"/>
    <w:basedOn w:val="Normal"/>
    <w:next w:val="Normal"/>
    <w:qFormat/>
    <w:rsid w:val="00EF7B96"/>
    <w:pPr>
      <w:spacing w:before="240" w:after="60"/>
      <w:outlineLvl w:val="5"/>
    </w:pPr>
    <w:rPr>
      <w:b/>
      <w:bCs/>
      <w:sz w:val="22"/>
      <w:szCs w:val="22"/>
    </w:rPr>
  </w:style>
  <w:style w:type="paragraph" w:styleId="Overskrift7">
    <w:name w:val="heading 7"/>
    <w:basedOn w:val="Normal"/>
    <w:next w:val="Normal"/>
    <w:qFormat/>
    <w:rsid w:val="00EF7B96"/>
    <w:pPr>
      <w:spacing w:before="240" w:after="60"/>
      <w:outlineLvl w:val="6"/>
    </w:pPr>
  </w:style>
  <w:style w:type="paragraph" w:styleId="Overskrift8">
    <w:name w:val="heading 8"/>
    <w:basedOn w:val="Normal"/>
    <w:next w:val="Normal"/>
    <w:qFormat/>
    <w:rsid w:val="00EF7B96"/>
    <w:pPr>
      <w:spacing w:before="240" w:after="60"/>
      <w:outlineLvl w:val="7"/>
    </w:pPr>
    <w:rPr>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rsid w:val="00805BCE"/>
    <w:rPr>
      <w:b/>
      <w:sz w:val="22"/>
    </w:rPr>
  </w:style>
  <w:style w:type="paragraph" w:styleId="INNH2">
    <w:name w:val="toc 2"/>
    <w:basedOn w:val="Normal"/>
    <w:next w:val="Normal"/>
    <w:autoRedefine/>
    <w:rsid w:val="00805BCE"/>
    <w:pPr>
      <w:ind w:left="240"/>
    </w:pPr>
    <w:rPr>
      <w:b/>
      <w:sz w:val="22"/>
    </w:rPr>
  </w:style>
  <w:style w:type="paragraph" w:styleId="INNH3">
    <w:name w:val="toc 3"/>
    <w:basedOn w:val="Normal"/>
    <w:next w:val="Normal"/>
    <w:autoRedefine/>
    <w:rsid w:val="00805BCE"/>
    <w:pPr>
      <w:ind w:left="480"/>
    </w:pPr>
    <w:rPr>
      <w:b/>
      <w:sz w:val="22"/>
    </w:rPr>
  </w:style>
  <w:style w:type="paragraph" w:styleId="INNH4">
    <w:name w:val="toc 4"/>
    <w:basedOn w:val="Normal"/>
    <w:next w:val="Normal"/>
    <w:autoRedefine/>
    <w:rsid w:val="00805BCE"/>
    <w:pPr>
      <w:ind w:left="720"/>
    </w:pPr>
    <w:rPr>
      <w:b/>
      <w:sz w:val="22"/>
    </w:rPr>
  </w:style>
  <w:style w:type="paragraph" w:styleId="INNH5">
    <w:name w:val="toc 5"/>
    <w:basedOn w:val="Normal"/>
    <w:next w:val="Normal"/>
    <w:autoRedefine/>
    <w:rsid w:val="00805BCE"/>
    <w:pPr>
      <w:ind w:left="960"/>
    </w:pPr>
    <w:rPr>
      <w:b/>
      <w:sz w:val="22"/>
    </w:rPr>
  </w:style>
  <w:style w:type="paragraph" w:styleId="INNH6">
    <w:name w:val="toc 6"/>
    <w:basedOn w:val="Normal"/>
    <w:next w:val="Normal"/>
    <w:autoRedefine/>
    <w:rsid w:val="00805BCE"/>
    <w:pPr>
      <w:ind w:left="1200"/>
    </w:pPr>
    <w:rPr>
      <w:b/>
      <w:sz w:val="22"/>
    </w:rPr>
  </w:style>
  <w:style w:type="paragraph" w:styleId="INNH7">
    <w:name w:val="toc 7"/>
    <w:basedOn w:val="Normal"/>
    <w:next w:val="Normal"/>
    <w:autoRedefine/>
    <w:rsid w:val="00805BCE"/>
    <w:pPr>
      <w:ind w:left="1440"/>
    </w:pPr>
    <w:rPr>
      <w:b/>
      <w:sz w:val="22"/>
    </w:rPr>
  </w:style>
  <w:style w:type="paragraph" w:styleId="INNH8">
    <w:name w:val="toc 8"/>
    <w:basedOn w:val="Normal"/>
    <w:next w:val="Normal"/>
    <w:autoRedefine/>
    <w:rsid w:val="00805BCE"/>
    <w:pPr>
      <w:ind w:left="1680"/>
    </w:pPr>
    <w:rPr>
      <w:b/>
      <w:sz w:val="22"/>
    </w:rPr>
  </w:style>
  <w:style w:type="paragraph" w:styleId="INNH9">
    <w:name w:val="toc 9"/>
    <w:basedOn w:val="Normal"/>
    <w:next w:val="Normal"/>
    <w:autoRedefine/>
    <w:rsid w:val="00805BCE"/>
    <w:pPr>
      <w:ind w:left="1920"/>
    </w:pPr>
    <w:rPr>
      <w:b/>
      <w:sz w:val="22"/>
    </w:rPr>
  </w:style>
  <w:style w:type="paragraph" w:styleId="Listeavsnitt">
    <w:name w:val="List Paragraph"/>
    <w:basedOn w:val="Normal"/>
    <w:uiPriority w:val="34"/>
    <w:qFormat/>
    <w:rsid w:val="00260A2B"/>
    <w:pPr>
      <w:ind w:left="720"/>
      <w:contextualSpacing/>
    </w:pPr>
  </w:style>
  <w:style w:type="paragraph" w:styleId="Revisjon">
    <w:name w:val="Revision"/>
    <w:hidden/>
    <w:uiPriority w:val="99"/>
    <w:semiHidden/>
    <w:rsid w:val="00260A2B"/>
    <w:rPr>
      <w:sz w:val="24"/>
      <w:szCs w:val="24"/>
    </w:rPr>
  </w:style>
  <w:style w:type="character" w:styleId="Merknadsreferanse">
    <w:name w:val="annotation reference"/>
    <w:basedOn w:val="Standardskriftforavsnitt"/>
    <w:semiHidden/>
    <w:unhideWhenUsed/>
    <w:rsid w:val="00260A2B"/>
    <w:rPr>
      <w:sz w:val="16"/>
      <w:szCs w:val="16"/>
    </w:rPr>
  </w:style>
  <w:style w:type="paragraph" w:styleId="Merknadstekst">
    <w:name w:val="annotation text"/>
    <w:basedOn w:val="Normal"/>
    <w:link w:val="MerknadstekstTegn"/>
    <w:semiHidden/>
    <w:unhideWhenUsed/>
    <w:rsid w:val="00260A2B"/>
    <w:rPr>
      <w:sz w:val="20"/>
      <w:szCs w:val="20"/>
    </w:rPr>
  </w:style>
  <w:style w:type="character" w:customStyle="1" w:styleId="MerknadstekstTegn">
    <w:name w:val="Merknadstekst Tegn"/>
    <w:basedOn w:val="Standardskriftforavsnitt"/>
    <w:link w:val="Merknadstekst"/>
    <w:semiHidden/>
    <w:rsid w:val="00260A2B"/>
  </w:style>
  <w:style w:type="paragraph" w:styleId="Kommentaremne">
    <w:name w:val="annotation subject"/>
    <w:basedOn w:val="Merknadstekst"/>
    <w:next w:val="Merknadstekst"/>
    <w:link w:val="KommentaremneTegn"/>
    <w:semiHidden/>
    <w:unhideWhenUsed/>
    <w:rsid w:val="00260A2B"/>
    <w:rPr>
      <w:b/>
      <w:bCs/>
    </w:rPr>
  </w:style>
  <w:style w:type="character" w:customStyle="1" w:styleId="KommentaremneTegn">
    <w:name w:val="Kommentaremne Tegn"/>
    <w:basedOn w:val="MerknadstekstTegn"/>
    <w:link w:val="Kommentaremne"/>
    <w:semiHidden/>
    <w:rsid w:val="00260A2B"/>
    <w:rPr>
      <w:b/>
      <w:bCs/>
    </w:rPr>
  </w:style>
  <w:style w:type="paragraph" w:styleId="Topptekst">
    <w:name w:val="header"/>
    <w:basedOn w:val="Normal"/>
    <w:link w:val="TopptekstTegn"/>
    <w:unhideWhenUsed/>
    <w:rsid w:val="00357DE4"/>
    <w:pPr>
      <w:tabs>
        <w:tab w:val="center" w:pos="4536"/>
        <w:tab w:val="right" w:pos="9072"/>
      </w:tabs>
    </w:pPr>
  </w:style>
  <w:style w:type="character" w:customStyle="1" w:styleId="TopptekstTegn">
    <w:name w:val="Topptekst Tegn"/>
    <w:basedOn w:val="Standardskriftforavsnitt"/>
    <w:link w:val="Topptekst"/>
    <w:rsid w:val="00357DE4"/>
    <w:rPr>
      <w:sz w:val="24"/>
      <w:szCs w:val="24"/>
    </w:rPr>
  </w:style>
  <w:style w:type="paragraph" w:styleId="Bunntekst">
    <w:name w:val="footer"/>
    <w:basedOn w:val="Normal"/>
    <w:link w:val="BunntekstTegn"/>
    <w:unhideWhenUsed/>
    <w:rsid w:val="00357DE4"/>
    <w:pPr>
      <w:tabs>
        <w:tab w:val="center" w:pos="4536"/>
        <w:tab w:val="right" w:pos="9072"/>
      </w:tabs>
    </w:pPr>
  </w:style>
  <w:style w:type="character" w:customStyle="1" w:styleId="BunntekstTegn">
    <w:name w:val="Bunntekst Tegn"/>
    <w:basedOn w:val="Standardskriftforavsnitt"/>
    <w:link w:val="Bunntekst"/>
    <w:rsid w:val="00357DE4"/>
    <w:rPr>
      <w:sz w:val="24"/>
      <w:szCs w:val="24"/>
    </w:rPr>
  </w:style>
  <w:style w:type="paragraph" w:customStyle="1" w:styleId="xmsonormal">
    <w:name w:val="x_msonormal"/>
    <w:basedOn w:val="Normal"/>
    <w:rsid w:val="004853E6"/>
    <w:rPr>
      <w:rFonts w:ascii="Calibri" w:eastAsiaTheme="minorHAnsi" w:hAnsi="Calibri" w:cs="Calibri"/>
      <w:sz w:val="22"/>
      <w:szCs w:val="22"/>
      <w:lang w:eastAsia="nb-NO"/>
    </w:rPr>
  </w:style>
  <w:style w:type="paragraph" w:customStyle="1" w:styleId="xmsolistparagraph">
    <w:name w:val="x_msolistparagraph"/>
    <w:basedOn w:val="Normal"/>
    <w:rsid w:val="004853E6"/>
    <w:pPr>
      <w:ind w:left="720"/>
    </w:pPr>
    <w:rPr>
      <w:rFonts w:ascii="Calibri" w:eastAsiaTheme="minorHAnsi" w:hAnsi="Calibri" w:cs="Calibri"/>
      <w:sz w:val="22"/>
      <w:szCs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4023">
      <w:bodyDiv w:val="1"/>
      <w:marLeft w:val="0"/>
      <w:marRight w:val="0"/>
      <w:marTop w:val="0"/>
      <w:marBottom w:val="0"/>
      <w:divBdr>
        <w:top w:val="none" w:sz="0" w:space="0" w:color="auto"/>
        <w:left w:val="none" w:sz="0" w:space="0" w:color="auto"/>
        <w:bottom w:val="none" w:sz="0" w:space="0" w:color="auto"/>
        <w:right w:val="none" w:sz="0" w:space="0" w:color="auto"/>
      </w:divBdr>
    </w:div>
    <w:div w:id="1027288940">
      <w:bodyDiv w:val="1"/>
      <w:marLeft w:val="0"/>
      <w:marRight w:val="0"/>
      <w:marTop w:val="0"/>
      <w:marBottom w:val="0"/>
      <w:divBdr>
        <w:top w:val="none" w:sz="0" w:space="0" w:color="auto"/>
        <w:left w:val="none" w:sz="0" w:space="0" w:color="auto"/>
        <w:bottom w:val="none" w:sz="0" w:space="0" w:color="auto"/>
        <w:right w:val="none" w:sz="0" w:space="0" w:color="auto"/>
      </w:divBdr>
    </w:div>
    <w:div w:id="1670132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vdata.no/pro" TargetMode="External"/><Relationship Id="rId13" Type="http://schemas.openxmlformats.org/officeDocument/2006/relationships/hyperlink" Target="https://lovdata.no/pro" TargetMode="External"/><Relationship Id="rId3" Type="http://schemas.openxmlformats.org/officeDocument/2006/relationships/settings" Target="settings.xml"/><Relationship Id="rId7" Type="http://schemas.openxmlformats.org/officeDocument/2006/relationships/hyperlink" Target="https://lovdata.no/pro" TargetMode="External"/><Relationship Id="rId12" Type="http://schemas.openxmlformats.org/officeDocument/2006/relationships/hyperlink" Target="https://lovdata.no/p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p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vdata.no/pro" TargetMode="External"/><Relationship Id="rId4" Type="http://schemas.openxmlformats.org/officeDocument/2006/relationships/webSettings" Target="webSettings.xml"/><Relationship Id="rId9" Type="http://schemas.openxmlformats.org/officeDocument/2006/relationships/hyperlink" Target="https://lovdata.no/p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508</Words>
  <Characters>3365</Characters>
  <Application>Microsoft Office Word</Application>
  <DocSecurity>0</DocSecurity>
  <Lines>28</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Forskrift om stønad til dekning av utgifter til undersøkelse og behandling hos lege</vt:lpstr>
      <vt:lpstr/>
    </vt:vector>
  </TitlesOfParts>
  <Company>Stiftelsen Lovdata</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Forskrift om stønad til dekning av utgifter til undersøkelse og behandling hos lege</dc:title>
  <dc:subject>Forskrift om stønad til dekning av utgifter til undersøkelse og behandling hos lege</dc:subject>
  <dc:creator>Stiftelsen Lovdata</dc:creator>
  <cp:lastModifiedBy>Sand Øystein</cp:lastModifiedBy>
  <cp:revision>4</cp:revision>
  <dcterms:created xsi:type="dcterms:W3CDTF">2023-06-30T08:27:00Z</dcterms:created>
  <dcterms:modified xsi:type="dcterms:W3CDTF">2023-06-30T08:53:00Z</dcterms:modified>
  <cp:category>Juridisk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Font">
    <vt:lpwstr>Times New Roman</vt:lpwstr>
  </property>
  <property fmtid="{D5CDD505-2E9C-101B-9397-08002B2CF9AE}" pid="3" name="Lovdata-UID">
    <vt:i4>23942</vt:i4>
  </property>
</Properties>
</file>